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90667" w14:textId="77777777" w:rsidR="00F645C8" w:rsidRDefault="00F645C8" w:rsidP="00F645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Załącznik nr 1.5 do Zarządzenia Rektora </w:t>
      </w:r>
      <w:proofErr w:type="gramStart"/>
      <w:r>
        <w:rPr>
          <w:rFonts w:ascii="Corbel" w:hAnsi="Corbel"/>
          <w:bCs/>
          <w:i/>
        </w:rPr>
        <w:t>UR  nr</w:t>
      </w:r>
      <w:proofErr w:type="gramEnd"/>
      <w:r>
        <w:rPr>
          <w:rFonts w:ascii="Corbel" w:hAnsi="Corbel"/>
          <w:bCs/>
          <w:i/>
        </w:rPr>
        <w:t xml:space="preserve"> 61/2025</w:t>
      </w:r>
    </w:p>
    <w:p w14:paraId="7C678F3B" w14:textId="77777777" w:rsidR="00F645C8" w:rsidRDefault="00F645C8" w:rsidP="00F645C8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BEEC757" w14:textId="77777777" w:rsidR="00F645C8" w:rsidRDefault="00F645C8" w:rsidP="00F645C8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026226A8" w14:textId="77777777" w:rsidR="00F645C8" w:rsidRDefault="00F645C8" w:rsidP="00F645C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A71AA8A" w14:textId="77777777" w:rsidR="00F645C8" w:rsidRDefault="00F645C8" w:rsidP="00F645C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proofErr w:type="gramStart"/>
      <w:r>
        <w:rPr>
          <w:rFonts w:ascii="Corbel" w:hAnsi="Corbel"/>
          <w:sz w:val="20"/>
          <w:szCs w:val="20"/>
        </w:rPr>
        <w:t>akademicki  2029</w:t>
      </w:r>
      <w:proofErr w:type="gramEnd"/>
      <w:r>
        <w:rPr>
          <w:rFonts w:ascii="Corbel" w:hAnsi="Corbel"/>
          <w:sz w:val="20"/>
          <w:szCs w:val="20"/>
        </w:rPr>
        <w:t>/2030</w:t>
      </w:r>
    </w:p>
    <w:p w14:paraId="45A829C1" w14:textId="77777777" w:rsidR="00F645C8" w:rsidRDefault="00F645C8" w:rsidP="00F645C8">
      <w:pPr>
        <w:spacing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)</w:t>
      </w:r>
    </w:p>
    <w:p w14:paraId="5F56B5BB" w14:textId="77777777" w:rsidR="00F645C8" w:rsidRDefault="00F645C8" w:rsidP="00F645C8">
      <w:pPr>
        <w:spacing w:after="0" w:line="240" w:lineRule="auto"/>
        <w:rPr>
          <w:rFonts w:ascii="Corbel" w:hAnsi="Corbel"/>
          <w:sz w:val="20"/>
          <w:szCs w:val="20"/>
        </w:rPr>
      </w:pPr>
    </w:p>
    <w:p w14:paraId="1C86B5AE" w14:textId="77777777" w:rsidR="00F645C8" w:rsidRDefault="00F645C8" w:rsidP="00F645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842"/>
        <w:gridCol w:w="6939"/>
      </w:tblGrid>
      <w:tr w:rsidR="00F645C8" w14:paraId="75C67809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49984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25DD5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społeczna</w:t>
            </w:r>
          </w:p>
        </w:tc>
      </w:tr>
      <w:tr w:rsidR="00F645C8" w14:paraId="4A1AC66B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7F24B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71F5C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645C8" w14:paraId="401FECBC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AC0FB" w14:textId="77777777" w:rsidR="00F645C8" w:rsidRDefault="00F645C8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A02F2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F645C8" w14:paraId="27B55E27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C2F6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928F8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F645C8" w14:paraId="1CE54388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9D083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12354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F645C8" w14:paraId="67C34E82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C6F2E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kształcenia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20915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F645C8" w14:paraId="33554D1E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7AFF0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55472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F645C8" w14:paraId="14BACCAA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C381C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17D90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F645C8" w14:paraId="11530AFA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A56F2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5CCE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10</w:t>
            </w:r>
          </w:p>
        </w:tc>
      </w:tr>
      <w:tr w:rsidR="00F645C8" w14:paraId="0CCBA56F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8DEE1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3135" w14:textId="77777777" w:rsidR="00F645C8" w:rsidRDefault="00F645C8" w:rsidP="00F645C8">
            <w:pPr>
              <w:pStyle w:val="Odpowiedzi"/>
              <w:numPr>
                <w:ilvl w:val="0"/>
                <w:numId w:val="1"/>
              </w:numPr>
              <w:spacing w:before="0" w:after="0"/>
              <w:ind w:left="311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Przygotowania psychologiczno-pedagogiczne</w:t>
            </w:r>
          </w:p>
        </w:tc>
      </w:tr>
      <w:tr w:rsidR="00F645C8" w14:paraId="6BD1B83C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64B5E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65041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F645C8" w14:paraId="13800E08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C1D7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529B" w14:textId="77777777" w:rsidR="00F645C8" w:rsidRDefault="00F645C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Piotr T. Nowakowski, prof. UR</w:t>
            </w:r>
          </w:p>
        </w:tc>
      </w:tr>
      <w:tr w:rsidR="00F645C8" w14:paraId="169547B2" w14:textId="77777777" w:rsidTr="00BD501A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6F6FD" w14:textId="77777777" w:rsidR="00F645C8" w:rsidRDefault="00F645C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E1696" w14:textId="77777777" w:rsidR="00F645C8" w:rsidRDefault="00F645C8" w:rsidP="00BD501A">
            <w:pPr>
              <w:rPr>
                <w:rFonts w:ascii="Corbel" w:hAnsi="Corbel"/>
              </w:rPr>
            </w:pPr>
            <w:r w:rsidRPr="002D7A1A">
              <w:rPr>
                <w:rFonts w:ascii="Corbel" w:hAnsi="Corbel"/>
              </w:rPr>
              <w:t>dr hab. prof. UR Piotr T. Nowakowski</w:t>
            </w:r>
          </w:p>
        </w:tc>
      </w:tr>
    </w:tbl>
    <w:p w14:paraId="3943EBFE" w14:textId="77777777" w:rsidR="002F77A3" w:rsidRDefault="00F645C8" w:rsidP="002F77A3">
      <w:pPr>
        <w:pStyle w:val="Podpunkty"/>
        <w:spacing w:before="120" w:afterAutospacing="1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 xml:space="preserve">zgodnie z </w:t>
      </w:r>
    </w:p>
    <w:p w14:paraId="3A373623" w14:textId="7C64920D" w:rsidR="00F645C8" w:rsidRPr="002F77A3" w:rsidRDefault="00F645C8" w:rsidP="002F77A3">
      <w:pPr>
        <w:pStyle w:val="Podpunkty"/>
        <w:spacing w:before="12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ustaleniami w jednostce</w:t>
      </w:r>
    </w:p>
    <w:p w14:paraId="7324C28A" w14:textId="77777777" w:rsidR="00F645C8" w:rsidRDefault="00F645C8" w:rsidP="00F645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4482290" w14:textId="77777777" w:rsidR="00F645C8" w:rsidRDefault="00F645C8" w:rsidP="00F645C8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F645C8" w14:paraId="6E2AFA7F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E706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459C8E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3E973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FAFFA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EE36F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FC75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CD3E5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9C54C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A490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00BBE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F5349" w14:textId="77777777" w:rsidR="00F645C8" w:rsidRDefault="00F645C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645C8" w14:paraId="76EF16AB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D852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70C4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60B23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18E6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31EE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65366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A4506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6D046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0BFC9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A37E5" w14:textId="77777777" w:rsidR="00F645C8" w:rsidRDefault="00F645C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458D17" w14:textId="77777777" w:rsidR="00F645C8" w:rsidRDefault="00F645C8" w:rsidP="00F645C8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4285A6" w14:textId="77777777" w:rsidR="00F645C8" w:rsidRDefault="00F645C8" w:rsidP="00F645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0DE010" w14:textId="77777777" w:rsidR="00F645C8" w:rsidRDefault="00F645C8" w:rsidP="00F645C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59867B" w14:textId="77777777" w:rsidR="00F645C8" w:rsidRDefault="00F645C8" w:rsidP="00F645C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88D52A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99D8089" w14:textId="77777777" w:rsidR="002F77A3" w:rsidRDefault="002F77A3" w:rsidP="00F645C8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36665EF" w14:textId="77777777" w:rsidR="00F645C8" w:rsidRDefault="00F645C8" w:rsidP="00F645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</w:p>
    <w:p w14:paraId="7A615E44" w14:textId="77777777" w:rsidR="00F645C8" w:rsidRDefault="00F645C8" w:rsidP="00F645C8">
      <w:pPr>
        <w:pStyle w:val="Punktygwne"/>
        <w:tabs>
          <w:tab w:val="left" w:pos="-3420"/>
        </w:tabs>
        <w:spacing w:before="0" w:after="0"/>
        <w:ind w:left="709" w:firstLine="11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046A3DF5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75612" w14:textId="77777777" w:rsidR="002F77A3" w:rsidRDefault="002F77A3" w:rsidP="00F645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02132E" w14:textId="0E26AA6B" w:rsidR="00F645C8" w:rsidRPr="002F77A3" w:rsidRDefault="00F645C8" w:rsidP="00F645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645C8" w14:paraId="04C137C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AE8B" w14:textId="77777777" w:rsidR="00F645C8" w:rsidRDefault="00F645C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Znajomość podstaw pedagogiki.</w:t>
            </w:r>
          </w:p>
          <w:p w14:paraId="7C82D45F" w14:textId="77777777" w:rsidR="00F645C8" w:rsidRDefault="00F645C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Znajomość podstaw socjologii i psychologii.</w:t>
            </w:r>
          </w:p>
          <w:p w14:paraId="421A4476" w14:textId="77777777" w:rsidR="00F645C8" w:rsidRDefault="00F645C8" w:rsidP="00BD501A">
            <w:pPr>
              <w:pStyle w:val="Punktygwne"/>
              <w:spacing w:before="0" w:after="40"/>
              <w:rPr>
                <w:rFonts w:ascii="Corbel" w:hAnsi="Corbel"/>
                <w:b w:val="0"/>
                <w:smallCaps w:val="0"/>
                <w:color w:val="000000"/>
                <w:sz w:val="10"/>
                <w:szCs w:val="1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Orientacja w problematyce ogólnospołecznej.</w:t>
            </w:r>
          </w:p>
        </w:tc>
      </w:tr>
    </w:tbl>
    <w:p w14:paraId="038505F7" w14:textId="77777777" w:rsidR="00F645C8" w:rsidRDefault="00F645C8" w:rsidP="00F645C8">
      <w:pPr>
        <w:pStyle w:val="Punktygwne"/>
        <w:spacing w:before="0" w:after="0"/>
        <w:rPr>
          <w:rFonts w:ascii="Corbel" w:hAnsi="Corbel"/>
          <w:szCs w:val="24"/>
        </w:rPr>
      </w:pPr>
    </w:p>
    <w:p w14:paraId="21428B35" w14:textId="77777777" w:rsidR="00F645C8" w:rsidRDefault="00F645C8" w:rsidP="00F645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</w:t>
      </w:r>
      <w:proofErr w:type="gramStart"/>
      <w:r>
        <w:rPr>
          <w:rFonts w:ascii="Corbel" w:hAnsi="Corbel"/>
          <w:szCs w:val="24"/>
        </w:rPr>
        <w:t>kształcenia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10E325C2" w14:textId="77777777" w:rsidR="00F645C8" w:rsidRDefault="00F645C8" w:rsidP="00F645C8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752C2B1C" w14:textId="77777777" w:rsidR="00F645C8" w:rsidRDefault="00F645C8" w:rsidP="00F645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3A7ED4BF" w14:textId="77777777" w:rsidR="00F645C8" w:rsidRDefault="00F645C8" w:rsidP="00F645C8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F645C8" w14:paraId="34C46B9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7BBB" w14:textId="77777777" w:rsidR="00F645C8" w:rsidRDefault="00F645C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B6E54" w14:textId="77777777" w:rsidR="00F645C8" w:rsidRDefault="00F645C8" w:rsidP="00BD501A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pedagogiki społecznej.</w:t>
            </w:r>
          </w:p>
        </w:tc>
      </w:tr>
      <w:tr w:rsidR="00F645C8" w14:paraId="55D941A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0B9AD" w14:textId="77777777" w:rsidR="00F645C8" w:rsidRDefault="00F645C8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00DAC" w14:textId="77777777" w:rsidR="00F645C8" w:rsidRDefault="00F645C8" w:rsidP="00BD501A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i doświadczenia studentów w zakresie </w:t>
            </w:r>
            <w:r>
              <w:rPr>
                <w:rFonts w:ascii="Corbel" w:eastAsia="Garamond" w:hAnsi="Corbel"/>
                <w:b w:val="0"/>
                <w:sz w:val="24"/>
                <w:szCs w:val="24"/>
              </w:rPr>
              <w:t>interpretacji i oceny zjawisk z obszaru pedagogiki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645C8" w14:paraId="426AD22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83FB2" w14:textId="77777777" w:rsidR="00F645C8" w:rsidRDefault="00F645C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4097" w14:textId="77777777" w:rsidR="00F645C8" w:rsidRDefault="00F645C8" w:rsidP="00BD501A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motywacji studentów do pogłębiania wiedzy w zakresie </w:t>
            </w:r>
            <w:r>
              <w:rPr>
                <w:rFonts w:ascii="Corbel" w:eastAsia="Garamond" w:hAnsi="Corbel"/>
                <w:b w:val="0"/>
                <w:sz w:val="24"/>
                <w:szCs w:val="24"/>
              </w:rPr>
              <w:t>pedagogiki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0CC7DC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C0468" w14:textId="77777777" w:rsidR="00F645C8" w:rsidRDefault="00F645C8" w:rsidP="00F645C8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kształcenia dla przedmiotu/ modułu</w:t>
      </w:r>
      <w:r>
        <w:rPr>
          <w:rFonts w:ascii="Corbel" w:hAnsi="Corbel"/>
        </w:rPr>
        <w:t xml:space="preserve"> </w:t>
      </w:r>
      <w:proofErr w:type="gramStart"/>
      <w:r>
        <w:rPr>
          <w:rFonts w:ascii="Corbel" w:hAnsi="Corbel"/>
        </w:rPr>
        <w:t xml:space="preserve">( </w:t>
      </w:r>
      <w:r>
        <w:rPr>
          <w:rFonts w:ascii="Corbel" w:hAnsi="Corbel"/>
          <w:i/>
        </w:rPr>
        <w:t>wypełnia</w:t>
      </w:r>
      <w:proofErr w:type="gramEnd"/>
      <w:r>
        <w:rPr>
          <w:rFonts w:ascii="Corbel" w:hAnsi="Corbel"/>
          <w:i/>
        </w:rPr>
        <w:t xml:space="preserve"> koordynator</w:t>
      </w:r>
      <w:r>
        <w:rPr>
          <w:rFonts w:ascii="Corbel" w:hAnsi="Corbel"/>
        </w:rPr>
        <w:t>)</w:t>
      </w:r>
    </w:p>
    <w:p w14:paraId="4522008B" w14:textId="77777777" w:rsidR="00F645C8" w:rsidRDefault="00F645C8" w:rsidP="00F645C8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52"/>
        <w:gridCol w:w="5470"/>
        <w:gridCol w:w="1832"/>
      </w:tblGrid>
      <w:tr w:rsidR="00F645C8" w14:paraId="5D78D8F0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BAA84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kształcenia)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95182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8D3F9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645C8" w14:paraId="1FC29FC5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5518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82E64" w14:textId="77777777" w:rsidR="00F645C8" w:rsidRDefault="00F645C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główne środowiska wychowawcze, ich specyfikę i procesy w nich zachodzące.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A6C4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PPiW.W04</w:t>
            </w:r>
          </w:p>
        </w:tc>
      </w:tr>
      <w:tr w:rsidR="00F645C8" w14:paraId="4FFBEBA7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1812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0134E" w14:textId="77777777" w:rsidR="00F645C8" w:rsidRDefault="00F645C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procesy komunikacji społecznej oraz ich prawidłowości i zakłócenia.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1439E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PPiW.W17</w:t>
            </w:r>
          </w:p>
        </w:tc>
      </w:tr>
      <w:tr w:rsidR="00F645C8" w14:paraId="7BC65EFF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3BC4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765E" w14:textId="77777777" w:rsidR="00F645C8" w:rsidRDefault="00F645C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zagadnienie edukacji międzykulturowej.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2B56A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PPiW.W07</w:t>
            </w:r>
          </w:p>
        </w:tc>
      </w:tr>
      <w:tr w:rsidR="00F645C8" w14:paraId="2B4124CF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6563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271C" w14:textId="77777777" w:rsidR="00F645C8" w:rsidRDefault="00F645C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Efektywnie pracuje w środowiskach zróżnicowanych pod względem kulturowym oraz z dziećmi z doświadczeniem migracyjnym, w tym z dziećmi, dla których język polski jest drugim językiem, wykorzystując kompetencje międzykulturowe i glottodydaktyczne.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E3417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PPiW.U12</w:t>
            </w:r>
          </w:p>
        </w:tc>
      </w:tr>
      <w:tr w:rsidR="00F645C8" w14:paraId="0AB3C54E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D37D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6EC0" w14:textId="77777777" w:rsidR="00F645C8" w:rsidRDefault="00F645C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Racjonalnie i zgodnie z zasadami techniki pracy umysłowej gospodaruje czasem zajęć oraz odpowiedzialnie organizuje pracę pozaszkolną dziecka lub ucznia, z poszanowaniem jego prawa do odpoczynku.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09DD5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F645C8" w14:paraId="43541582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FB68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D95DB" w14:textId="77777777" w:rsidR="00F645C8" w:rsidRDefault="00F645C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porozumiewania się z osobami pochodzącymi z różnych środowisk i o różnej kondycji emocjonalnej, dialogowego rozwiązywania konfliktów oraz tworzenia dobrej atmosfery dla komunikacji w grupie przedszkolnej i klasie szkolnej oraz poza nimi.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BA91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0BC9E4FC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7E3B5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973971" w14:textId="77777777" w:rsidR="00F645C8" w:rsidRDefault="00F645C8" w:rsidP="00F645C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>(</w:t>
      </w:r>
      <w:r>
        <w:rPr>
          <w:rFonts w:ascii="Corbel" w:hAnsi="Corbel"/>
          <w:i/>
        </w:rPr>
        <w:t>wypełnia koordynator)</w:t>
      </w:r>
    </w:p>
    <w:p w14:paraId="2D83A813" w14:textId="77777777" w:rsidR="00F645C8" w:rsidRDefault="00F645C8" w:rsidP="00F645C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2ED3BCD7" w14:textId="77777777" w:rsidR="00F645C8" w:rsidRDefault="00F645C8" w:rsidP="00F645C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9865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865"/>
      </w:tblGrid>
      <w:tr w:rsidR="00F645C8" w14:paraId="046606FF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5914" w14:textId="77777777" w:rsidR="00F645C8" w:rsidRDefault="00F645C8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645C8" w14:paraId="4BA9C426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16FD" w14:textId="77777777" w:rsidR="00F645C8" w:rsidRDefault="00F645C8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1. Pedagogika społeczna jako subdyscyplina nauk pedagogicznych.</w:t>
            </w:r>
          </w:p>
        </w:tc>
      </w:tr>
      <w:tr w:rsidR="00F645C8" w14:paraId="2935A920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B048" w14:textId="77777777" w:rsidR="00F645C8" w:rsidRDefault="00F645C8" w:rsidP="00BD501A">
            <w:pPr>
              <w:pStyle w:val="NormalnyWeb"/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2. Definicja pedagogiki społecznej.</w:t>
            </w:r>
          </w:p>
        </w:tc>
      </w:tr>
      <w:tr w:rsidR="00F645C8" w14:paraId="1EFAA842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0AD8" w14:textId="77777777" w:rsidR="00F645C8" w:rsidRDefault="00F645C8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3. </w:t>
            </w:r>
            <w:r>
              <w:rPr>
                <w:rFonts w:ascii="Corbel" w:hAnsi="Corbel" w:cs="Arial"/>
              </w:rPr>
              <w:t>Formy i kierunki oddziaływań w pedagogice społecznej.</w:t>
            </w:r>
          </w:p>
        </w:tc>
      </w:tr>
      <w:tr w:rsidR="00F645C8" w14:paraId="082AF8F1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B0C4" w14:textId="77777777" w:rsidR="00F645C8" w:rsidRDefault="00F645C8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</w:t>
            </w:r>
            <w:r>
              <w:rPr>
                <w:rFonts w:ascii="Corbel" w:hAnsi="Corbel" w:cs="Tahoma"/>
              </w:rPr>
              <w:t>Prekursorzy pedagogiki społecznej oraz rozwój i główni przedstawiciele tej dyscypliny w Polsce.</w:t>
            </w:r>
          </w:p>
        </w:tc>
      </w:tr>
      <w:tr w:rsidR="00F645C8" w14:paraId="66A457B4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EFB1" w14:textId="77777777" w:rsidR="00F645C8" w:rsidRDefault="00F645C8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5. Podstawowe środowiska wychowawcze.</w:t>
            </w:r>
          </w:p>
        </w:tc>
      </w:tr>
      <w:tr w:rsidR="00F645C8" w14:paraId="389B02A8" w14:textId="77777777" w:rsidTr="00BD501A"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7EB7" w14:textId="77777777" w:rsidR="00F645C8" w:rsidRDefault="00F645C8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</w:t>
            </w:r>
            <w:r>
              <w:rPr>
                <w:rFonts w:ascii="Corbel" w:hAnsi="Corbel" w:cs="Tahoma"/>
              </w:rPr>
              <w:t>Przemiany środowiska społeczno-kulturowego człowieka.</w:t>
            </w:r>
          </w:p>
        </w:tc>
      </w:tr>
    </w:tbl>
    <w:p w14:paraId="2DC1A825" w14:textId="77777777" w:rsidR="00F645C8" w:rsidRDefault="00F645C8" w:rsidP="00F645C8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795C675C" w14:textId="77777777" w:rsidR="00F645C8" w:rsidRDefault="00F645C8" w:rsidP="00F645C8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645C8" w14:paraId="4511D51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61F0B" w14:textId="77777777" w:rsidR="00F645C8" w:rsidRDefault="00F645C8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645C8" w14:paraId="5465723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BDDB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1. Kontekst rodzinny.</w:t>
            </w:r>
          </w:p>
        </w:tc>
      </w:tr>
      <w:tr w:rsidR="00F645C8" w14:paraId="5045BF7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AB41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</w:t>
            </w:r>
            <w:r>
              <w:rPr>
                <w:rFonts w:ascii="Corbel" w:hAnsi="Corbel" w:cs="Arial"/>
              </w:rPr>
              <w:t>Kontekst szkolny.</w:t>
            </w:r>
          </w:p>
        </w:tc>
      </w:tr>
      <w:tr w:rsidR="00F645C8" w14:paraId="69D214D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E424C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3. </w:t>
            </w:r>
            <w:r>
              <w:rPr>
                <w:rFonts w:ascii="Corbel" w:hAnsi="Corbel" w:cs="Arial"/>
              </w:rPr>
              <w:t>Kontekst środowiska lokalnego.</w:t>
            </w:r>
          </w:p>
        </w:tc>
      </w:tr>
      <w:tr w:rsidR="00F645C8" w14:paraId="398BE3A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0433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</w:t>
            </w:r>
            <w:r>
              <w:rPr>
                <w:rFonts w:ascii="Corbel" w:hAnsi="Corbel" w:cs="Arial"/>
              </w:rPr>
              <w:t>Kontekst grupy rówieśniczej.</w:t>
            </w:r>
          </w:p>
        </w:tc>
      </w:tr>
      <w:tr w:rsidR="00F645C8" w14:paraId="12DE2C1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A6B2B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 w:cs="Arial"/>
              </w:rPr>
              <w:t>Kontekst środowiska pracy.</w:t>
            </w:r>
          </w:p>
        </w:tc>
      </w:tr>
      <w:tr w:rsidR="00F645C8" w14:paraId="21B41B1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FFB1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Kontekst </w:t>
            </w:r>
            <w:r>
              <w:rPr>
                <w:rFonts w:ascii="Corbel" w:hAnsi="Corbel" w:cs="Arial"/>
              </w:rPr>
              <w:t>wspólnot religijnych</w:t>
            </w:r>
            <w:r>
              <w:rPr>
                <w:rFonts w:ascii="Corbel" w:hAnsi="Corbel"/>
              </w:rPr>
              <w:t>.</w:t>
            </w:r>
          </w:p>
        </w:tc>
      </w:tr>
      <w:tr w:rsidR="00F645C8" w14:paraId="165FD50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2472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7. </w:t>
            </w:r>
            <w:r>
              <w:rPr>
                <w:rFonts w:ascii="Corbel" w:hAnsi="Corbel" w:cs="Arial"/>
              </w:rPr>
              <w:t>Kontekst uczestnictwa w kulturze.</w:t>
            </w:r>
          </w:p>
        </w:tc>
      </w:tr>
      <w:tr w:rsidR="00F645C8" w14:paraId="3467E15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1614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8. </w:t>
            </w:r>
            <w:r>
              <w:rPr>
                <w:rFonts w:ascii="Corbel" w:hAnsi="Corbel" w:cs="Arial"/>
              </w:rPr>
              <w:t>Kontekst mass mediów.</w:t>
            </w:r>
          </w:p>
        </w:tc>
      </w:tr>
      <w:tr w:rsidR="00F645C8" w14:paraId="2CFF0B1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C6C4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9. </w:t>
            </w:r>
            <w:r>
              <w:rPr>
                <w:rFonts w:ascii="Corbel" w:hAnsi="Corbel" w:cs="Arial"/>
              </w:rPr>
              <w:t>Kontekst przestrzeni wirtualnej.</w:t>
            </w:r>
          </w:p>
        </w:tc>
      </w:tr>
      <w:tr w:rsidR="00F645C8" w14:paraId="359A0A4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72E8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10. </w:t>
            </w:r>
            <w:r>
              <w:rPr>
                <w:rFonts w:ascii="Corbel" w:hAnsi="Corbel" w:cs="Arial"/>
              </w:rPr>
              <w:t>Kontekst patologii społecznej.</w:t>
            </w:r>
          </w:p>
        </w:tc>
      </w:tr>
    </w:tbl>
    <w:p w14:paraId="7189BB2E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ECF0B" w14:textId="77777777" w:rsidR="00F645C8" w:rsidRDefault="00F645C8" w:rsidP="00F645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DB9B23C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7F78E74" w14:textId="77777777" w:rsidR="00F645C8" w:rsidRDefault="00F645C8" w:rsidP="00F645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F20A5C6" w14:textId="77777777" w:rsidR="00F645C8" w:rsidRDefault="00F645C8" w:rsidP="00F645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 grupach.</w:t>
      </w:r>
    </w:p>
    <w:p w14:paraId="72846828" w14:textId="77777777" w:rsidR="00F645C8" w:rsidRDefault="00F645C8" w:rsidP="00F645C8">
      <w:pPr>
        <w:pStyle w:val="Punktygwne"/>
        <w:spacing w:before="0" w:after="0"/>
        <w:rPr>
          <w:b w:val="0"/>
          <w:smallCaps w:val="0"/>
          <w:szCs w:val="24"/>
        </w:rPr>
      </w:pPr>
    </w:p>
    <w:p w14:paraId="5C9CAE75" w14:textId="77777777" w:rsidR="00F645C8" w:rsidRDefault="00F645C8" w:rsidP="00F645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1DD95F3" w14:textId="77777777" w:rsidR="00F645C8" w:rsidRDefault="00F645C8" w:rsidP="00F645C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CCE3DC8" w14:textId="77777777" w:rsidR="00F645C8" w:rsidRDefault="00F645C8" w:rsidP="00F645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kształcenia</w:t>
      </w:r>
    </w:p>
    <w:p w14:paraId="7F24E577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F645C8" w14:paraId="5BBD01AA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05D5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0A31A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8DE1DC5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FC30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B5F8D50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645C8" w14:paraId="44174320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BB29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FD04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7CA9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45C8" w14:paraId="5FC03963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F366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628D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9489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45C8" w14:paraId="1604F06B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8146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535D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 formie pisemnej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CF737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45C8" w14:paraId="3F1BD94D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0107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4050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zaliczenie w formie pisemnej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FD94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645C8" w14:paraId="3F6C767C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4434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4194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zaliczenie w formie pisemnej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9790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645C8" w14:paraId="03A7B2C9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4099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075A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zaliczenie w formie pisemnej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AC0A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3827082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22FA80" w14:textId="77777777" w:rsidR="00F645C8" w:rsidRDefault="00F645C8" w:rsidP="00F645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EF0E115" w14:textId="77777777" w:rsidR="00F645C8" w:rsidRDefault="00F645C8" w:rsidP="00F645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645C8" w14:paraId="1DFEA98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7C1A3" w14:textId="77777777" w:rsidR="00F645C8" w:rsidRDefault="00F645C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</w:p>
          <w:p w14:paraId="60CC7057" w14:textId="77777777" w:rsidR="00F645C8" w:rsidRDefault="00F645C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 formie pisemnej z oceną</w:t>
            </w:r>
          </w:p>
        </w:tc>
      </w:tr>
    </w:tbl>
    <w:p w14:paraId="4DBB47EF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C38121" w14:textId="77777777" w:rsidR="00F645C8" w:rsidRDefault="00F645C8" w:rsidP="00F645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B3D98A4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2"/>
        <w:gridCol w:w="4342"/>
      </w:tblGrid>
      <w:tr w:rsidR="00F645C8" w14:paraId="38A53BAF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5BAA0" w14:textId="77777777" w:rsidR="00F645C8" w:rsidRDefault="00F645C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4718" w14:textId="77777777" w:rsidR="00F645C8" w:rsidRDefault="00F645C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645C8" w14:paraId="27E85253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8BDB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 harmonogramu studiów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1DE3" w14:textId="77777777" w:rsidR="00F645C8" w:rsidRDefault="00F645C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F645C8" w14:paraId="5775780F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1139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3BC06DBB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7759" w14:textId="77777777" w:rsidR="00F645C8" w:rsidRDefault="00F645C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645C8" w14:paraId="54E03516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B269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1A48539E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9655" w14:textId="77777777" w:rsidR="00F645C8" w:rsidRDefault="00F645C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57</w:t>
            </w:r>
          </w:p>
        </w:tc>
      </w:tr>
      <w:tr w:rsidR="00F645C8" w14:paraId="532CBACA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70A6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5A1D" w14:textId="77777777" w:rsidR="00F645C8" w:rsidRDefault="00F645C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F645C8" w14:paraId="1D26D118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B052" w14:textId="77777777" w:rsidR="00F645C8" w:rsidRDefault="00F645C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2AED" w14:textId="77777777" w:rsidR="00F645C8" w:rsidRDefault="00F645C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75303718" w14:textId="77777777" w:rsidR="00F645C8" w:rsidRDefault="00F645C8" w:rsidP="00F645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BE8875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5CA59" w14:textId="77777777" w:rsidR="00F645C8" w:rsidRDefault="00F645C8" w:rsidP="00F645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6CB063A3" w14:textId="77777777" w:rsidR="00F645C8" w:rsidRDefault="00F645C8" w:rsidP="00F645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932"/>
        <w:gridCol w:w="3582"/>
      </w:tblGrid>
      <w:tr w:rsidR="00F645C8" w14:paraId="71FAC869" w14:textId="77777777" w:rsidTr="00BD501A">
        <w:trPr>
          <w:trHeight w:val="397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63F8" w14:textId="77777777" w:rsidR="00F645C8" w:rsidRDefault="00F645C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EF64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F645C8" w14:paraId="35FEA5DD" w14:textId="77777777" w:rsidTr="00BD501A">
        <w:trPr>
          <w:trHeight w:val="397"/>
        </w:trPr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525D" w14:textId="77777777" w:rsidR="00F645C8" w:rsidRDefault="00F645C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9B1F" w14:textId="77777777" w:rsidR="00F645C8" w:rsidRDefault="00F645C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52DF292" w14:textId="77777777" w:rsidR="00F645C8" w:rsidRDefault="00F645C8" w:rsidP="00F645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BF7200" w14:textId="77777777" w:rsidR="00F645C8" w:rsidRDefault="00F645C8" w:rsidP="00F645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1855539" w14:textId="77777777" w:rsidR="00F645C8" w:rsidRDefault="00F645C8" w:rsidP="00F645C8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F645C8" w14:paraId="1A82CD35" w14:textId="77777777" w:rsidTr="00BD501A">
        <w:trPr>
          <w:trHeight w:val="3244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42C7" w14:textId="77777777" w:rsidR="00F645C8" w:rsidRDefault="00F645C8" w:rsidP="00BD501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 w:cs="Corbel"/>
                <w:b w:val="0"/>
                <w:bCs/>
                <w:smallCaps w:val="0"/>
              </w:rPr>
              <w:t>Literatura podstawowa:</w:t>
            </w:r>
          </w:p>
          <w:p w14:paraId="4AC58251" w14:textId="77777777" w:rsidR="00F645C8" w:rsidRDefault="00F645C8" w:rsidP="00BD501A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Cichosz M., </w:t>
            </w:r>
            <w:r>
              <w:rPr>
                <w:rFonts w:ascii="Corbel" w:hAnsi="Corbel" w:cs="Corbel"/>
                <w:i/>
                <w:iCs/>
              </w:rPr>
              <w:t>Pedagogika społeczna: zarys problematyki</w:t>
            </w:r>
            <w:r>
              <w:rPr>
                <w:rFonts w:ascii="Corbel" w:hAnsi="Corbel" w:cs="Corbel"/>
              </w:rPr>
              <w:t>, Oficyna Wydawnicza „Impuls”, Kraków 2014.</w:t>
            </w:r>
          </w:p>
          <w:p w14:paraId="162535D8" w14:textId="77777777" w:rsidR="00F645C8" w:rsidRDefault="00F645C8" w:rsidP="00BD501A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Kawula S., </w:t>
            </w:r>
            <w:r>
              <w:rPr>
                <w:rFonts w:ascii="Corbel" w:hAnsi="Corbel" w:cs="Corbel"/>
                <w:i/>
                <w:iCs/>
              </w:rPr>
              <w:t>Pedagogika społeczna dzisiaj i jutro</w:t>
            </w:r>
            <w:r>
              <w:rPr>
                <w:rFonts w:ascii="Corbel" w:hAnsi="Corbel" w:cs="Corbel"/>
              </w:rPr>
              <w:t>, Wydawnictwo Edukacyjne „Akapit”, Toruń 2012.</w:t>
            </w:r>
          </w:p>
          <w:p w14:paraId="2C8F5FD5" w14:textId="77777777" w:rsidR="00F645C8" w:rsidRDefault="00F645C8" w:rsidP="00BD501A">
            <w:pPr>
              <w:pStyle w:val="NormalnyWeb"/>
              <w:spacing w:beforeAutospacing="0" w:after="0" w:afterAutospacing="0"/>
              <w:ind w:left="405" w:hanging="405"/>
              <w:rPr>
                <w:rFonts w:ascii="Corbel" w:hAnsi="Corbel" w:cs="Corbel"/>
              </w:rPr>
            </w:pPr>
            <w:proofErr w:type="spellStart"/>
            <w:r>
              <w:rPr>
                <w:rFonts w:ascii="Corbel" w:hAnsi="Corbel" w:cs="Corbel"/>
              </w:rPr>
              <w:t>Marynowicz</w:t>
            </w:r>
            <w:proofErr w:type="spellEnd"/>
            <w:r>
              <w:rPr>
                <w:rFonts w:ascii="Corbel" w:hAnsi="Corbel" w:cs="Corbel"/>
              </w:rPr>
              <w:t xml:space="preserve">-Hetka E. (red.), </w:t>
            </w:r>
            <w:r>
              <w:rPr>
                <w:rFonts w:ascii="Corbel" w:hAnsi="Corbel" w:cs="Corbel"/>
                <w:i/>
                <w:iCs/>
              </w:rPr>
              <w:t>Pedagogika społeczna: podręcznik akademicki</w:t>
            </w:r>
            <w:r>
              <w:rPr>
                <w:rFonts w:ascii="Corbel" w:hAnsi="Corbel" w:cs="Corbel"/>
              </w:rPr>
              <w:t>, t. 1, Wydawnictwo Naukowe PWN, Warszawa 2006.</w:t>
            </w:r>
          </w:p>
          <w:p w14:paraId="135C4958" w14:textId="77777777" w:rsidR="00F645C8" w:rsidRDefault="00F645C8" w:rsidP="00BD501A">
            <w:pPr>
              <w:pStyle w:val="NormalnyWeb"/>
              <w:spacing w:beforeAutospacing="0" w:after="0" w:afterAutospacing="0"/>
              <w:ind w:left="405" w:hanging="405"/>
              <w:rPr>
                <w:rFonts w:ascii="Corbel" w:hAnsi="Corbel" w:cs="Corbel"/>
              </w:rPr>
            </w:pPr>
            <w:proofErr w:type="spellStart"/>
            <w:r>
              <w:rPr>
                <w:rFonts w:ascii="Corbel" w:hAnsi="Corbel" w:cs="Corbel"/>
              </w:rPr>
              <w:t>Marynowicz</w:t>
            </w:r>
            <w:proofErr w:type="spellEnd"/>
            <w:r>
              <w:rPr>
                <w:rFonts w:ascii="Corbel" w:hAnsi="Corbel" w:cs="Corbel"/>
              </w:rPr>
              <w:t xml:space="preserve">-Hetka E. (red.), </w:t>
            </w:r>
            <w:r>
              <w:rPr>
                <w:rFonts w:ascii="Corbel" w:hAnsi="Corbel" w:cs="Corbel"/>
                <w:i/>
                <w:iCs/>
              </w:rPr>
              <w:t>Pedagogika społeczna: podręcznik akademicki</w:t>
            </w:r>
            <w:r>
              <w:rPr>
                <w:rFonts w:ascii="Corbel" w:hAnsi="Corbel" w:cs="Corbel"/>
              </w:rPr>
              <w:t>, t. 2, Wydawnictwo Naukowe PWN, Warszawa 2007.</w:t>
            </w:r>
          </w:p>
          <w:p w14:paraId="56767C13" w14:textId="77777777" w:rsidR="00F645C8" w:rsidRDefault="00F645C8" w:rsidP="00BD501A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Winkler M., </w:t>
            </w:r>
            <w:r>
              <w:rPr>
                <w:rFonts w:ascii="Corbel" w:hAnsi="Corbel" w:cs="Corbel"/>
                <w:i/>
                <w:iCs/>
              </w:rPr>
              <w:t>Pedagogika społeczna</w:t>
            </w:r>
            <w:r>
              <w:rPr>
                <w:rFonts w:ascii="Corbel" w:hAnsi="Corbel" w:cs="Corbel"/>
              </w:rPr>
              <w:t>, przekł. M. Wojdak-Piątkowska, Gdańskie Wydawnictwo Psychologiczne, Gdańsk – Sopot 2009.</w:t>
            </w:r>
          </w:p>
        </w:tc>
      </w:tr>
      <w:tr w:rsidR="00F645C8" w14:paraId="58956F34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17BD" w14:textId="77777777" w:rsidR="00F645C8" w:rsidRDefault="00F645C8" w:rsidP="00BD501A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>
              <w:rPr>
                <w:rFonts w:ascii="Corbel" w:hAnsi="Corbel" w:cs="Corbel"/>
                <w:b w:val="0"/>
                <w:bCs/>
                <w:smallCaps w:val="0"/>
              </w:rPr>
              <w:t>Literatura uzupełniająca:</w:t>
            </w:r>
          </w:p>
          <w:p w14:paraId="56266AF3" w14:textId="77777777" w:rsidR="00F645C8" w:rsidRDefault="00F645C8" w:rsidP="00BD501A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Kraus B., </w:t>
            </w:r>
            <w:r>
              <w:rPr>
                <w:rFonts w:ascii="Corbel" w:hAnsi="Corbel" w:cs="Corbel"/>
                <w:i/>
                <w:iCs/>
              </w:rPr>
              <w:t>Pedagogika społeczna w służbie człowiekowi we współczesnym społeczeństwie</w:t>
            </w:r>
            <w:r>
              <w:rPr>
                <w:rFonts w:ascii="Corbel" w:hAnsi="Corbel" w:cs="Corbel"/>
              </w:rPr>
              <w:t>, „Pedagogika Społeczna” 2014, r. 13, nr 2, s. 37-48.</w:t>
            </w:r>
          </w:p>
          <w:p w14:paraId="1AE1DC73" w14:textId="77777777" w:rsidR="00F645C8" w:rsidRDefault="00F645C8" w:rsidP="00BD501A">
            <w:pPr>
              <w:spacing w:after="0" w:line="240" w:lineRule="auto"/>
              <w:ind w:left="360" w:hanging="36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Nowakowski P.T., </w:t>
            </w:r>
            <w:r>
              <w:rPr>
                <w:rFonts w:ascii="Corbel" w:hAnsi="Corbel" w:cs="Corbel"/>
                <w:i/>
                <w:iCs/>
              </w:rPr>
              <w:t>Psychologiczno-pedagogiczne aspekty środowiska pracy</w:t>
            </w:r>
            <w:r>
              <w:rPr>
                <w:rFonts w:ascii="Corbel" w:hAnsi="Corbel" w:cs="Corbel"/>
              </w:rPr>
              <w:t xml:space="preserve">, w: M. Czapka (red.), </w:t>
            </w:r>
            <w:r>
              <w:rPr>
                <w:rFonts w:ascii="Corbel" w:hAnsi="Corbel" w:cs="Corbel"/>
                <w:i/>
                <w:iCs/>
              </w:rPr>
              <w:t>Psychospołeczne i pedagogiczne uwarunkowania pracy</w:t>
            </w:r>
            <w:r>
              <w:rPr>
                <w:rFonts w:ascii="Corbel" w:hAnsi="Corbel" w:cs="Corbel"/>
              </w:rPr>
              <w:t>, Wyższa Szkoła Ekonomii i Administracji, Bytom 2005, s. 39-56.</w:t>
            </w:r>
          </w:p>
          <w:p w14:paraId="65D2D807" w14:textId="77777777" w:rsidR="00F645C8" w:rsidRDefault="00F645C8" w:rsidP="00BD501A">
            <w:pPr>
              <w:spacing w:after="0" w:line="240" w:lineRule="auto"/>
              <w:ind w:left="360" w:hanging="36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lastRenderedPageBreak/>
              <w:t xml:space="preserve">Nowakowski P.T., </w:t>
            </w:r>
            <w:r>
              <w:rPr>
                <w:rFonts w:ascii="Corbel" w:hAnsi="Corbel" w:cs="Corbel"/>
                <w:i/>
                <w:iCs/>
              </w:rPr>
              <w:t>Rozważania o rodzinie funkcjonalnej i dysfunkcjonalnej</w:t>
            </w:r>
            <w:r>
              <w:rPr>
                <w:rFonts w:ascii="Corbel" w:hAnsi="Corbel" w:cs="Corbel"/>
              </w:rPr>
              <w:t>, „Cywilizacja. O nauce, moralności, sztuce i religii” 2005, nr 13, s. 41-51.</w:t>
            </w:r>
          </w:p>
          <w:p w14:paraId="64B683D8" w14:textId="77777777" w:rsidR="00F645C8" w:rsidRDefault="00F645C8" w:rsidP="00BD501A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Pilch T., </w:t>
            </w:r>
            <w:r>
              <w:rPr>
                <w:rFonts w:ascii="Corbel" w:hAnsi="Corbel" w:cs="Corbel"/>
                <w:i/>
                <w:iCs/>
              </w:rPr>
              <w:t>Pedagogika społeczna na początku XXI wieku</w:t>
            </w:r>
            <w:r>
              <w:rPr>
                <w:rFonts w:ascii="Corbel" w:hAnsi="Corbel" w:cs="Corbel"/>
              </w:rPr>
              <w:t>, „Pedagogika Społeczna” 2008, r. 7, nr 4, s. 7-25.</w:t>
            </w:r>
          </w:p>
          <w:p w14:paraId="48ECE69C" w14:textId="77777777" w:rsidR="00F645C8" w:rsidRDefault="00F645C8" w:rsidP="00BD501A">
            <w:pPr>
              <w:spacing w:after="0" w:line="240" w:lineRule="auto"/>
              <w:ind w:left="357" w:hanging="357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Pilch T., </w:t>
            </w:r>
            <w:r>
              <w:rPr>
                <w:rFonts w:ascii="Corbel" w:hAnsi="Corbel" w:cs="Corbel"/>
                <w:i/>
                <w:iCs/>
              </w:rPr>
              <w:t>Pedagogika społeczna wobec problemów współczesności</w:t>
            </w:r>
            <w:r>
              <w:rPr>
                <w:rFonts w:ascii="Corbel" w:hAnsi="Corbel" w:cs="Corbel"/>
              </w:rPr>
              <w:t>, „Pedagogika Społeczna” 2006, nr 4, s. 13-21.</w:t>
            </w:r>
          </w:p>
          <w:p w14:paraId="4357D327" w14:textId="77777777" w:rsidR="00F645C8" w:rsidRDefault="00F645C8" w:rsidP="00BD501A">
            <w:pPr>
              <w:spacing w:after="0" w:line="240" w:lineRule="auto"/>
              <w:ind w:left="360" w:hanging="36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Sroczyński W., </w:t>
            </w:r>
            <w:r>
              <w:rPr>
                <w:rFonts w:ascii="Corbel" w:hAnsi="Corbel" w:cs="Corbel"/>
                <w:i/>
                <w:iCs/>
              </w:rPr>
              <w:t>Aksjologia a pedagogika społeczna</w:t>
            </w:r>
            <w:r>
              <w:rPr>
                <w:rFonts w:ascii="Corbel" w:hAnsi="Corbel" w:cs="Corbel"/>
              </w:rPr>
              <w:t>, „Pedagogika Społeczna” 2006, nr 1, s. 19-29.</w:t>
            </w:r>
          </w:p>
          <w:p w14:paraId="1B4C48E6" w14:textId="77777777" w:rsidR="00F645C8" w:rsidRDefault="00F645C8" w:rsidP="00BD501A">
            <w:pPr>
              <w:spacing w:after="0" w:line="240" w:lineRule="auto"/>
              <w:ind w:left="360" w:hanging="36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Wroczyński R., </w:t>
            </w:r>
            <w:r>
              <w:rPr>
                <w:rFonts w:ascii="Corbel" w:hAnsi="Corbel" w:cs="Corbel"/>
                <w:i/>
                <w:iCs/>
              </w:rPr>
              <w:t>Pedagogika społeczna</w:t>
            </w:r>
            <w:r>
              <w:rPr>
                <w:rFonts w:ascii="Corbel" w:hAnsi="Corbel" w:cs="Corbel"/>
              </w:rPr>
              <w:t>, Państwowe Wydawnictwo Naukowe, Warszawa 1985.</w:t>
            </w:r>
          </w:p>
        </w:tc>
      </w:tr>
    </w:tbl>
    <w:p w14:paraId="77D7FAF3" w14:textId="77777777" w:rsidR="00F645C8" w:rsidRDefault="00F645C8" w:rsidP="00F645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E5AA0" w14:textId="33C32D0C" w:rsidR="00064FBC" w:rsidRDefault="00F645C8" w:rsidP="00F645C8">
      <w:r>
        <w:rPr>
          <w:rFonts w:ascii="Corbel" w:hAnsi="Corbel"/>
        </w:rPr>
        <w:t>Akceptacja Kierownika Jednostki lub osoby upoważnionej</w:t>
      </w:r>
    </w:p>
    <w:sectPr w:rsidR="00064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83E0F"/>
    <w:multiLevelType w:val="multilevel"/>
    <w:tmpl w:val="292AB39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7643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BC"/>
    <w:rsid w:val="00064FBC"/>
    <w:rsid w:val="002F77A3"/>
    <w:rsid w:val="007C7DA5"/>
    <w:rsid w:val="00AE0F70"/>
    <w:rsid w:val="00F6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B216"/>
  <w15:chartTrackingRefBased/>
  <w15:docId w15:val="{8DE44AF9-6F4F-40D8-B86D-964B68D8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5C8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64F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4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4F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4F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F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4F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4F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4F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4F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4F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4F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4F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4FB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FB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4F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4F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4F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4F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4F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4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4F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4F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4F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4F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4F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4F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4F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4F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4FBC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F645C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F645C8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F645C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F645C8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F645C8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F645C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F645C8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645C8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F645C8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45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4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1004</Words>
  <Characters>6028</Characters>
  <Application>Microsoft Office Word</Application>
  <DocSecurity>0</DocSecurity>
  <Lines>50</Lines>
  <Paragraphs>14</Paragraphs>
  <ScaleCrop>false</ScaleCrop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2025-12-18T07:42:00Z</dcterms:created>
  <dcterms:modified xsi:type="dcterms:W3CDTF">2025-12-18T11:31:00Z</dcterms:modified>
</cp:coreProperties>
</file>